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line="276" w:lineRule="auto"/>
        <w:ind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</w:r>
      <w:r>
        <w:rPr>
          <w:rFonts w:ascii="Arial" w:hAnsi="Arial" w:cs="Arial"/>
          <w:bCs/>
          <w:szCs w:val="24"/>
        </w:rPr>
      </w:r>
    </w:p>
    <w:p>
      <w:pPr>
        <w:pBdr/>
        <w:spacing w:line="276" w:lineRule="auto"/>
        <w:ind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</w:r>
      <w:r>
        <w:rPr>
          <w:rFonts w:ascii="Arial" w:hAnsi="Arial" w:cs="Arial"/>
          <w:b/>
          <w:bCs/>
          <w:szCs w:val="24"/>
        </w:rPr>
      </w:r>
    </w:p>
    <w:p>
      <w:pPr>
        <w:pBdr/>
        <w:spacing w:line="276" w:lineRule="auto"/>
        <w:ind/>
        <w:jc w:val="center"/>
        <w:rPr>
          <w:rFonts w:ascii="Arial" w:hAnsi="Arial" w:cs="Arial"/>
          <w:b/>
          <w:bCs/>
          <w:sz w:val="22"/>
          <w:szCs w:val="24"/>
        </w:rPr>
      </w:pPr>
      <w:r>
        <w:rPr>
          <w:rFonts w:ascii="Arial" w:hAnsi="Arial" w:cs="Arial"/>
          <w:b/>
          <w:bCs/>
          <w:sz w:val="22"/>
          <w:szCs w:val="24"/>
        </w:rPr>
        <w:t xml:space="preserve">KLAUZULA INFORMACYJNA </w:t>
      </w:r>
      <w:r>
        <w:rPr>
          <w:rFonts w:ascii="Arial" w:hAnsi="Arial" w:cs="Arial"/>
          <w:b/>
          <w:bCs/>
          <w:sz w:val="22"/>
          <w:szCs w:val="24"/>
        </w:rPr>
      </w:r>
    </w:p>
    <w:p>
      <w:pPr>
        <w:pBdr/>
        <w:spacing w:line="276" w:lineRule="auto"/>
        <w:ind/>
        <w:jc w:val="center"/>
        <w:rPr>
          <w:rFonts w:ascii="Arial" w:hAnsi="Arial" w:cs="Arial"/>
          <w:b/>
          <w:bCs/>
          <w:sz w:val="12"/>
          <w:szCs w:val="24"/>
        </w:rPr>
      </w:pPr>
      <w:r>
        <w:rPr>
          <w:rFonts w:ascii="Arial" w:hAnsi="Arial" w:cs="Arial"/>
          <w:b/>
          <w:bCs/>
          <w:sz w:val="12"/>
          <w:szCs w:val="24"/>
        </w:rPr>
      </w:r>
      <w:r>
        <w:rPr>
          <w:rFonts w:ascii="Arial" w:hAnsi="Arial" w:cs="Arial"/>
          <w:b/>
          <w:bCs/>
          <w:sz w:val="12"/>
          <w:szCs w:val="24"/>
        </w:rPr>
      </w:r>
    </w:p>
    <w:p>
      <w:pPr>
        <w:pBdr/>
        <w:spacing w:line="276" w:lineRule="auto"/>
        <w:ind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d</w:t>
      </w:r>
      <w:r>
        <w:rPr>
          <w:rFonts w:ascii="Arial" w:hAnsi="Arial" w:cs="Arial"/>
          <w:b/>
          <w:bCs/>
          <w:szCs w:val="24"/>
        </w:rPr>
        <w:t xml:space="preserve">otycząca przetwarzania danych kontrahentów/stron umowy lub porozumienia</w:t>
      </w:r>
      <w:r>
        <w:rPr>
          <w:rFonts w:ascii="Arial" w:hAnsi="Arial" w:cs="Arial"/>
          <w:b/>
          <w:bCs/>
          <w:szCs w:val="24"/>
        </w:rPr>
        <w:t xml:space="preserve">,</w:t>
      </w:r>
      <w:r>
        <w:rPr>
          <w:rFonts w:ascii="Arial" w:hAnsi="Arial" w:cs="Arial"/>
          <w:b/>
          <w:bCs/>
          <w:szCs w:val="24"/>
        </w:rPr>
        <w:br/>
      </w:r>
      <w:r>
        <w:rPr>
          <w:rFonts w:ascii="Arial" w:hAnsi="Arial" w:cs="Arial"/>
          <w:b/>
          <w:bCs/>
          <w:szCs w:val="24"/>
        </w:rPr>
        <w:t xml:space="preserve"> ich reprezentantów</w:t>
      </w:r>
      <w:r>
        <w:rPr>
          <w:rFonts w:ascii="Arial" w:hAnsi="Arial" w:cs="Arial"/>
          <w:b/>
          <w:bCs/>
          <w:szCs w:val="24"/>
        </w:rPr>
        <w:t xml:space="preserve"> oraz osób wyznaczonych do kontaktu w związku z ich wykonaniem </w:t>
      </w:r>
      <w:r>
        <w:rPr>
          <w:rFonts w:ascii="Arial" w:hAnsi="Arial" w:cs="Arial"/>
          <w:b/>
          <w:bCs/>
          <w:szCs w:val="24"/>
        </w:rPr>
      </w:r>
    </w:p>
    <w:p>
      <w:pPr>
        <w:pBdr/>
        <w:spacing w:before="240" w:line="276" w:lineRule="auto"/>
        <w:ind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ascii="Arial" w:hAnsi="Arial" w:eastAsia="Times New Roman" w:cs="Arial"/>
          <w:sz w:val="22"/>
          <w:szCs w:val="22"/>
        </w:rPr>
        <w:t xml:space="preserve">Zgodnie z art.</w:t>
      </w:r>
      <w:r>
        <w:t xml:space="preserve"> </w:t>
      </w:r>
      <w:r>
        <w:rPr>
          <w:rFonts w:ascii="Arial" w:hAnsi="Arial" w:eastAsia="Times New Roman" w:cs="Arial"/>
          <w:sz w:val="22"/>
          <w:szCs w:val="22"/>
        </w:rPr>
        <w:t xml:space="preserve">13 ust. 1 i 2</w:t>
      </w:r>
      <w:r>
        <w:rPr>
          <w:rFonts w:ascii="Arial" w:hAnsi="Arial" w:eastAsia="Times New Roman" w:cs="Arial"/>
          <w:sz w:val="22"/>
          <w:szCs w:val="22"/>
        </w:rPr>
        <w:t xml:space="preserve"> oraz</w:t>
      </w:r>
      <w:r>
        <w:rPr>
          <w:rFonts w:ascii="Arial" w:hAnsi="Arial" w:eastAsia="Times New Roman" w:cs="Arial"/>
          <w:sz w:val="22"/>
          <w:szCs w:val="22"/>
        </w:rPr>
        <w:t xml:space="preserve"> art. 14 ust. 1 i 2</w:t>
      </w:r>
      <w:r>
        <w:rPr>
          <w:rFonts w:ascii="Arial" w:hAnsi="Arial" w:eastAsia="Times New Roman" w:cs="Arial"/>
          <w:sz w:val="22"/>
          <w:szCs w:val="22"/>
        </w:rPr>
        <w:t xml:space="preserve"> </w:t>
      </w:r>
      <w:r>
        <w:rPr>
          <w:rFonts w:ascii="Arial" w:hAnsi="Arial" w:eastAsia="Times New Roman" w:cs="Arial"/>
          <w:sz w:val="22"/>
          <w:szCs w:val="22"/>
        </w:rPr>
        <w:t xml:space="preserve"> </w:t>
      </w:r>
      <w:r>
        <w:rPr>
          <w:rFonts w:ascii="Arial" w:hAnsi="Arial" w:eastAsia="Times New Roman" w:cs="Arial"/>
          <w:sz w:val="22"/>
          <w:szCs w:val="22"/>
        </w:rPr>
        <w:t xml:space="preserve">Rozporządzenia Parlamentu Europejskiego </w:t>
      </w:r>
      <w:r>
        <w:rPr>
          <w:rFonts w:ascii="Arial" w:hAnsi="Arial" w:eastAsia="Times New Roman" w:cs="Arial"/>
          <w:sz w:val="22"/>
          <w:szCs w:val="22"/>
        </w:rPr>
        <w:br/>
      </w:r>
      <w:r>
        <w:rPr>
          <w:rFonts w:ascii="Arial" w:hAnsi="Arial" w:eastAsia="Times New Roman" w:cs="Arial"/>
          <w:sz w:val="22"/>
          <w:szCs w:val="22"/>
        </w:rPr>
        <w:t xml:space="preserve">i Rady (UE) 2016/679 z dnia 27 kwietnia 2016 r. w sprawie ochrony osób fizycznych w związku z przetwarzaniem danych osobowych i w sprawie swobodnego przepływu takich danych oraz uchylenia dyrektywy 95/46/WE (RODO) informujemy, że </w:t>
      </w:r>
      <w:r>
        <w:rPr>
          <w:rFonts w:ascii="Arial" w:hAnsi="Arial" w:eastAsia="Times New Roman" w:cs="Arial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Administratorem przetwarzającym Pani/Pana dane osobowe jest Łódzki Komendant Wojewódzki Państwowej Straży Pożarnej w Łodzi (adres: ul. Wólczańska 111/113,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90–521 Łódź, </w:t>
      </w:r>
      <w:r>
        <w:rPr>
          <w:rFonts w:ascii="Arial" w:hAnsi="Arial" w:cs="Arial"/>
          <w:sz w:val="22"/>
          <w:szCs w:val="22"/>
        </w:rPr>
        <w:t xml:space="preserve">tel</w:t>
      </w:r>
      <w:r>
        <w:rPr>
          <w:rFonts w:ascii="Arial" w:hAnsi="Arial" w:cs="Arial"/>
          <w:sz w:val="22"/>
          <w:szCs w:val="22"/>
        </w:rPr>
        <w:t xml:space="preserve">: (0-42) 63 15 103, adres e-mail: </w:t>
      </w:r>
      <w:hyperlink r:id="rId9" w:tooltip="file:///\\zasob1\IOD$\IOD%20-%20E.Chrzanowska\Zespoły%20zadaniowe\Zespół%20ŁKW%20-%20rozbudowa%20syst.%20ostrzegania%20i%20alarmowania\Załączniki%203,4,5,%20klauzule.docx" w:history="1">
        <w:r>
          <w:rPr>
            <w:rStyle w:val="678"/>
            <w:rFonts w:ascii="Arial" w:hAnsi="Arial" w:cs="Arial"/>
            <w:sz w:val="22"/>
            <w:szCs w:val="22"/>
          </w:rPr>
          <w:t xml:space="preserve">kancelaria@lodzkie.straz.gov.pl</w:t>
        </w:r>
      </w:hyperlink>
      <w:r>
        <w:rPr>
          <w:rStyle w:val="678"/>
          <w:rFonts w:ascii="Arial" w:hAnsi="Arial" w:cs="Arial"/>
          <w:color w:val="000000" w:themeColor="text1"/>
          <w:sz w:val="22"/>
          <w:szCs w:val="22"/>
          <w:u w:val="none"/>
        </w:rPr>
        <w:t xml:space="preserve">).</w:t>
      </w:r>
      <w:r>
        <w:rPr>
          <w:rFonts w:ascii="Arial" w:hAnsi="Arial" w:cs="Arial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Komendzie Wojewódzkiej Państwowej Straży Pożarnej w Łodzi wyznaczony został Inspektor Ochrony Danych</w:t>
      </w:r>
      <w:r>
        <w:rPr>
          <w:rFonts w:ascii="Arial" w:hAnsi="Arial" w:cs="Arial"/>
          <w:sz w:val="22"/>
          <w:szCs w:val="22"/>
        </w:rPr>
        <w:t xml:space="preserve">,</w:t>
      </w:r>
      <w:r>
        <w:rPr>
          <w:rFonts w:ascii="Arial" w:hAnsi="Arial" w:cs="Arial"/>
          <w:sz w:val="22"/>
          <w:szCs w:val="22"/>
        </w:rPr>
        <w:t xml:space="preserve"> adres: ul. Wólczańska 111/113, 90–521 Łódź, </w:t>
      </w:r>
      <w:r>
        <w:rPr>
          <w:rFonts w:ascii="Arial" w:hAnsi="Arial" w:cs="Arial"/>
          <w:sz w:val="22"/>
          <w:szCs w:val="22"/>
        </w:rPr>
        <w:t xml:space="preserve">tel</w:t>
      </w:r>
      <w:r>
        <w:rPr>
          <w:rFonts w:ascii="Arial" w:hAnsi="Arial" w:cs="Arial"/>
          <w:sz w:val="22"/>
          <w:szCs w:val="22"/>
        </w:rPr>
        <w:t xml:space="preserve">: (0-42) 63 15 155, adres e-mail: </w:t>
      </w:r>
      <w:hyperlink r:id="rId10" w:tooltip="mailto:iod@lodzkie.straz.gov.pl" w:history="1">
        <w:r>
          <w:rPr>
            <w:rStyle w:val="678"/>
            <w:rFonts w:ascii="Arial" w:hAnsi="Arial" w:cs="Arial"/>
            <w:sz w:val="22"/>
            <w:szCs w:val="22"/>
          </w:rPr>
          <w:t xml:space="preserve">iod@lodzkie.straz.gov.pl</w:t>
        </w:r>
      </w:hyperlink>
      <w:r>
        <w:rPr>
          <w:rFonts w:ascii="Arial" w:hAnsi="Arial" w:cs="Arial"/>
          <w:color w:val="0000ff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Pani/Pana dane osob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owe przetw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arzane będą na podstawie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7"/>
        </w:numPr>
        <w:pBdr/>
        <w:spacing w:after="0" w:afterAutospacing="0" w:before="0" w:beforeAutospacing="0" w:line="276" w:lineRule="auto"/>
        <w:ind w:hanging="357" w:left="143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w celu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zawarcia umowy lub porozumienia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oraz podjęcia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działań przed jej zawarciem;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7"/>
        </w:numPr>
        <w:pBdr/>
        <w:spacing w:after="0" w:afterAutospacing="0" w:before="0" w:beforeAutospacing="0" w:line="276" w:lineRule="auto"/>
        <w:ind w:hanging="357" w:left="143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c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regulowania zobowiązań wynikających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umów/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porozumień, w tym obowiązków podatkowych;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7"/>
        </w:numPr>
        <w:pBdr/>
        <w:spacing w:after="0" w:afterAutospacing="0" w:before="0" w:beforeAutospacing="0" w:line="276" w:lineRule="auto"/>
        <w:ind w:hanging="357" w:left="143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art. 6 ust. 1 lit.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RODO - w celu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obrony przed ewentualnymi roszczeniami  lub w celu dochodzenia praw lub roszczeń, wynikających z zawartych </w:t>
      </w:r>
      <w:r>
        <w:rPr>
          <w:rFonts w:ascii="Arial" w:hAnsi="Arial" w:cs="Arial"/>
          <w:sz w:val="22"/>
          <w:szCs w:val="22"/>
        </w:rPr>
        <w:t xml:space="preserve">umów/porozumień</w:t>
      </w:r>
      <w:r>
        <w:rPr>
          <w:rFonts w:ascii="Arial" w:hAnsi="Arial" w:cs="Arial"/>
          <w:sz w:val="22"/>
          <w:szCs w:val="22"/>
        </w:rPr>
        <w:t xml:space="preserve">.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 osób wskazanych przez strony umowy/porozumienia jako </w:t>
      </w:r>
      <w:r>
        <w:rPr>
          <w:rFonts w:ascii="Arial" w:hAnsi="Arial" w:cs="Arial"/>
          <w:sz w:val="22"/>
          <w:szCs w:val="22"/>
        </w:rPr>
        <w:t xml:space="preserve">osoby </w:t>
      </w:r>
      <w:r>
        <w:rPr>
          <w:rFonts w:ascii="Arial" w:hAnsi="Arial" w:cs="Arial"/>
          <w:sz w:val="22"/>
          <w:szCs w:val="22"/>
          <w:u w:val="single"/>
        </w:rPr>
        <w:t xml:space="preserve">do kontaktu </w:t>
      </w:r>
      <w:r>
        <w:rPr>
          <w:rFonts w:ascii="Arial" w:hAnsi="Arial" w:cs="Arial"/>
          <w:sz w:val="22"/>
          <w:szCs w:val="22"/>
        </w:rPr>
        <w:t xml:space="preserve">-</w:t>
      </w:r>
      <w:r>
        <w:rPr>
          <w:rFonts w:ascii="Arial" w:hAnsi="Arial" w:cs="Arial"/>
          <w:sz w:val="22"/>
          <w:szCs w:val="22"/>
        </w:rPr>
        <w:t xml:space="preserve"> przetwarzane będą na podstawie </w:t>
      </w: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art. 6 ust. 1 lit. e RODO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</w:t>
      </w:r>
      <w:r>
        <w:rPr>
          <w:rFonts w:ascii="Arial" w:hAnsi="Arial" w:cs="Arial"/>
          <w:sz w:val="22"/>
          <w:szCs w:val="22"/>
        </w:rPr>
        <w:t xml:space="preserve"> w celu nawiązania współpracy (kontaktu) przy realizacji umowy/porozumienia zawartego z Komendą Wojewódzką Państwowej Straży Pożarnej w Łodzi.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Przetwarzanie Pan</w:t>
      </w:r>
      <w:r>
        <w:rPr>
          <w:rFonts w:ascii="Arial" w:hAnsi="Arial" w:cs="Arial"/>
          <w:sz w:val="22"/>
          <w:szCs w:val="22"/>
        </w:rPr>
        <w:t xml:space="preserve">i/Pana danych osobowych może obejmować</w:t>
      </w:r>
      <w:r>
        <w:rPr>
          <w:rFonts w:ascii="Arial" w:hAnsi="Arial" w:cs="Arial"/>
          <w:sz w:val="22"/>
          <w:szCs w:val="22"/>
        </w:rPr>
        <w:t xml:space="preserve"> takie kategorie danych, jak: imię i nazwisko, stanowisko, adres e-mail, nr telefonu.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Źródłem pochodzenia Pani/Pana danych osobowych jest umowa</w:t>
      </w:r>
      <w:r>
        <w:rPr>
          <w:rFonts w:ascii="Arial" w:hAnsi="Arial" w:cs="Arial"/>
          <w:sz w:val="22"/>
          <w:szCs w:val="22"/>
        </w:rPr>
        <w:t xml:space="preserve">/porozumienie zawarte</w:t>
      </w:r>
      <w:r>
        <w:rPr>
          <w:rFonts w:ascii="Arial" w:hAnsi="Arial" w:cs="Arial"/>
          <w:sz w:val="22"/>
          <w:szCs w:val="22"/>
        </w:rPr>
        <w:t xml:space="preserve"> pomię</w:t>
      </w:r>
      <w:r>
        <w:rPr>
          <w:rFonts w:ascii="Arial" w:hAnsi="Arial" w:cs="Arial"/>
          <w:sz w:val="22"/>
          <w:szCs w:val="22"/>
        </w:rPr>
        <w:t xml:space="preserve">dzy stronami, w której wskazano</w:t>
      </w:r>
      <w:r>
        <w:rPr>
          <w:rFonts w:ascii="Arial" w:hAnsi="Arial" w:cs="Arial"/>
          <w:sz w:val="22"/>
          <w:szCs w:val="22"/>
        </w:rPr>
        <w:t xml:space="preserve"> Panią/Pana jako osobę do kontaktu.</w:t>
      </w:r>
      <w:r>
        <w:rPr>
          <w:rFonts w:ascii="Arial" w:hAnsi="Arial" w:cs="Arial"/>
          <w:sz w:val="22"/>
          <w:szCs w:val="22"/>
        </w:rPr>
      </w:r>
    </w:p>
    <w:p>
      <w:pPr>
        <w:numPr>
          <w:ilvl w:val="0"/>
          <w:numId w:val="1"/>
        </w:numPr>
        <w:pBdr/>
        <w:spacing w:before="120" w:line="276" w:lineRule="auto"/>
        <w:ind/>
        <w:jc w:val="both"/>
        <w:rPr>
          <w:rFonts w:ascii="Arial" w:hAnsi="Arial" w:eastAsia="Times New Roman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Odbiorcami </w:t>
      </w:r>
      <w:r>
        <w:rPr>
          <w:rFonts w:ascii="Arial" w:hAnsi="Arial" w:cs="Arial"/>
          <w:sz w:val="22"/>
          <w:szCs w:val="22"/>
        </w:rPr>
        <w:t xml:space="preserve">Pani/Pana</w:t>
      </w:r>
      <w:r>
        <w:rPr>
          <w:rFonts w:ascii="Arial" w:hAnsi="Arial" w:cs="Arial"/>
          <w:sz w:val="22"/>
          <w:szCs w:val="22"/>
        </w:rPr>
        <w:t xml:space="preserve"> danych osobowych</w:t>
      </w:r>
      <w:r>
        <w:rPr>
          <w:rFonts w:ascii="Arial" w:hAnsi="Arial" w:cs="Arial"/>
          <w:sz w:val="22"/>
          <w:szCs w:val="22"/>
        </w:rPr>
        <w:t xml:space="preserve"> mogą być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nadrzędne jednostki organizacyjne Państwowej Straży Pożarnej, </w:t>
      </w:r>
      <w:r>
        <w:rPr>
          <w:rFonts w:ascii="Arial" w:hAnsi="Arial" w:eastAsia="Times New Roman" w:cs="Arial"/>
          <w:sz w:val="22"/>
          <w:szCs w:val="22"/>
        </w:rPr>
        <w:t xml:space="preserve">podmioty uprawnione do ich pozyskania</w:t>
      </w:r>
      <w:r>
        <w:rPr>
          <w:rFonts w:ascii="Arial" w:hAnsi="Arial" w:eastAsia="Times New Roman" w:cs="Arial"/>
          <w:sz w:val="22"/>
          <w:szCs w:val="22"/>
        </w:rPr>
        <w:t xml:space="preserve"> na podstawie odrębnych przepisów prawa. </w:t>
      </w:r>
      <w:r>
        <w:rPr>
          <w:rFonts w:ascii="Arial" w:hAnsi="Arial" w:eastAsia="Times New Roman" w:cs="Arial"/>
          <w:sz w:val="22"/>
          <w:szCs w:val="22"/>
        </w:rPr>
        <w:t xml:space="preserve">Odbiorcami danych mogą być również </w:t>
      </w:r>
      <w:r>
        <w:rPr>
          <w:rFonts w:ascii="Arial" w:hAnsi="Arial" w:eastAsia="Times New Roman" w:cs="Arial"/>
          <w:sz w:val="22"/>
          <w:szCs w:val="22"/>
        </w:rPr>
        <w:t xml:space="preserve">podmioty świadczące usługi pocztowe i usługi prawne oraz </w:t>
      </w:r>
      <w:r>
        <w:rPr>
          <w:rFonts w:ascii="Arial" w:hAnsi="Arial" w:eastAsia="Times New Roman" w:cs="Arial"/>
          <w:sz w:val="22"/>
          <w:szCs w:val="22"/>
        </w:rPr>
        <w:t xml:space="preserve">podmioty przetwarzające dane na zlecenie administratora na podstawie umów powierzenia przetwarzania danych osobowych, w tym świadczące obsługę systemów informatycznych wykorzystywanych przez administratora.</w:t>
      </w:r>
      <w:r>
        <w:rPr>
          <w:rFonts w:ascii="Arial" w:hAnsi="Arial" w:eastAsia="Times New Roman" w:cs="Arial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Pani/Pana dane osobowe nie będą przekazywane do państwa trzeciego lub organizacji międzynarodowej.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osobowe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przechowywane </w:t>
      </w:r>
      <w:r>
        <w:rPr>
          <w:rFonts w:ascii="Arial" w:hAnsi="Arial" w:cs="Arial"/>
          <w:sz w:val="22"/>
          <w:szCs w:val="22"/>
        </w:rPr>
        <w:t xml:space="preserve">będą </w:t>
      </w:r>
      <w:r>
        <w:rPr>
          <w:rFonts w:ascii="Arial" w:hAnsi="Arial" w:cs="Arial"/>
          <w:sz w:val="22"/>
          <w:szCs w:val="22"/>
        </w:rPr>
        <w:t xml:space="preserve">przez </w:t>
      </w:r>
      <w:r>
        <w:rPr>
          <w:rFonts w:ascii="Arial" w:hAnsi="Arial" w:cs="Arial"/>
          <w:sz w:val="22"/>
          <w:szCs w:val="22"/>
        </w:rPr>
        <w:t xml:space="preserve">okres</w:t>
      </w:r>
      <w:r>
        <w:rPr>
          <w:rFonts w:ascii="Arial" w:hAnsi="Arial" w:cs="Arial"/>
          <w:sz w:val="22"/>
          <w:szCs w:val="22"/>
        </w:rPr>
        <w:t xml:space="preserve"> obowiązywania umowy, a następnie przez czas niezbędny do dochodzenia lub obrony przed ewentualnymi roszczeniami. Po upływie tego okresu dane będą przechowywane zgodnie z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kategorią archiwalną wskazaną w Jednolitym Rzeczowym Wykazie Akt dla Państwowej Straży Pożarnej. </w:t>
      </w:r>
      <w:r>
        <w:rPr>
          <w:rFonts w:ascii="Arial" w:hAnsi="Arial" w:cs="Arial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Posiada Pani/Pan prawo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dostępu do treści swoich danych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prawo do sprostowania danych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oraz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prawo do ograniczenia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ich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przetwarzania.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Prawo do usunięcia danych oraz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prawo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do przenoszenia danych podlegają ograniczeniom wynikającym z art.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17 ust. 3 RODO oraz art.18 ust. 2 RODO. </w:t>
      </w:r>
      <w:bookmarkStart w:id="0" w:name="_GoBack"/>
      <w:r/>
      <w:bookmarkEnd w:id="0"/>
      <w:r/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Posiada Pani/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Pan prawo do sprzeciwu wobec przetwarzania, chyba że będziemy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w stanie wykazać, że w stosunku do Pani/Pana danych istnieją dla nas ważne prawnie uzasadnione podstawy, które są nadrzędne wobec Pani/Pana interesów, praw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i wolności lub Pani/Pana dane będą nam niezbędne do ewentualnego ustalenia, dochodzenia lub obrony roszczeń.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tabs>
          <w:tab w:val="clear" w:leader="none" w:pos="720"/>
        </w:tabs>
        <w:spacing w:after="0" w:afterAutospacing="0" w:before="120" w:beforeAutospacing="0" w:line="276" w:lineRule="auto"/>
        <w: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 Pani/Pan prawo wniesienia skargi do Prezesa Urzędu Ochrony Danych Osobowych gdy uzna Pani/Pan, iż przetwarzanie danych osobowych Pani/Pana dotyczących narusza przepisy RODO.</w:t>
      </w:r>
      <w:r>
        <w:rPr>
          <w:rFonts w:ascii="Arial" w:hAnsi="Arial" w:cs="Arial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przypadku podmiotu, z k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tórym Administrator zawarł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umowę/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porozumienie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oraz osób go reprezentujących podanie dany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ch jest warunkiem zawarcia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umowy/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porozumienia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>
        <w:rPr>
          <w:rFonts w:ascii="Arial" w:hAnsi="Arial" w:cs="Arial"/>
          <w:color w:val="000000" w:themeColor="text1"/>
          <w:sz w:val="22"/>
          <w:szCs w:val="22"/>
        </w:rPr>
        <w:br/>
      </w:r>
      <w:r>
        <w:rPr>
          <w:rFonts w:ascii="Arial" w:hAnsi="Arial" w:cs="Arial"/>
          <w:color w:val="000000" w:themeColor="text1"/>
          <w:sz w:val="22"/>
          <w:szCs w:val="22"/>
        </w:rPr>
        <w:t xml:space="preserve">W przypadku braku podania danych nie będzie możli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we zawarcie i realizacja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umowy/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porozumienia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numPr>
          <w:ilvl w:val="0"/>
          <w:numId w:val="1"/>
        </w:numPr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Przetwarzanie podanych przez Panią/Pana danych osobowych nie będzie podlegało zautomatyzowanemu podejmowaniu decyzji, w tym profilowaniu, o którym mowa w art. 22 ust. 1 i 4 RODO.</w:t>
      </w:r>
      <w:r>
        <w:rPr>
          <w:rFonts w:ascii="Arial" w:hAnsi="Arial" w:cs="Arial"/>
          <w:color w:val="000000" w:themeColor="text1"/>
          <w:sz w:val="22"/>
          <w:szCs w:val="22"/>
        </w:rPr>
      </w:r>
    </w:p>
    <w:p>
      <w:pPr>
        <w:pStyle w:val="679"/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</w:r>
      <w:r>
        <w:rPr>
          <w:rFonts w:ascii="Arial" w:hAnsi="Arial" w:cs="Arial"/>
          <w:color w:val="ff0000"/>
          <w:sz w:val="22"/>
          <w:szCs w:val="22"/>
        </w:rPr>
      </w:r>
    </w:p>
    <w:p>
      <w:pPr>
        <w:pBdr/>
        <w:spacing w:line="276" w:lineRule="auto"/>
        <w:ind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</w:r>
      <w:r>
        <w:rPr>
          <w:rFonts w:ascii="Arial" w:hAnsi="Arial" w:cs="Arial"/>
          <w:b/>
          <w:bCs/>
          <w:szCs w:val="24"/>
        </w:rPr>
      </w:r>
    </w:p>
    <w:p>
      <w:pPr>
        <w:pBdr/>
        <w:spacing w:line="276" w:lineRule="auto"/>
        <w:ind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</w:r>
      <w:r>
        <w:rPr>
          <w:rFonts w:ascii="Arial" w:hAnsi="Arial" w:cs="Arial"/>
          <w:b/>
          <w:bCs/>
          <w:szCs w:val="24"/>
        </w:rPr>
      </w:r>
    </w:p>
    <w:p>
      <w:pPr>
        <w:pBdr/>
        <w:spacing w:line="276" w:lineRule="auto"/>
        <w:ind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</w:r>
      <w:r>
        <w:rPr>
          <w:rFonts w:ascii="Arial" w:hAnsi="Arial" w:cs="Arial"/>
          <w:b/>
          <w:bCs/>
          <w:szCs w:val="24"/>
        </w:rPr>
      </w:r>
    </w:p>
    <w:p>
      <w:pPr>
        <w:pStyle w:val="679"/>
        <w:pBdr/>
        <w:spacing w:after="0" w:afterAutospacing="0" w:before="120" w:beforeAutospacing="0" w:line="276" w:lineRule="auto"/>
        <w:ind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</w:r>
      <w:r>
        <w:rPr>
          <w:rFonts w:ascii="Arial" w:hAnsi="Arial" w:cs="Arial"/>
          <w:color w:val="ff0000"/>
          <w:sz w:val="22"/>
          <w:szCs w:val="22"/>
        </w:rPr>
      </w:r>
    </w:p>
    <w:sectPr>
      <w:footnotePr/>
      <w:endnotePr/>
      <w:type w:val="nextPage"/>
      <w:pgSz w:h="16838" w:orient="portrait" w:w="11906"/>
      <w:pgMar w:top="567" w:right="1417" w:bottom="1135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60" w:left="1503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223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943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63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83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103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823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543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63"/>
      </w:pPr>
      <w:rPr>
        <w:rFonts w:hint="default" w:ascii="Wingdings" w:hAnsi="Wingdings"/>
      </w:rPr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>
        <w:color w:val="auto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abstractNum w:abstractNumId="3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abstractNum w:abstractNumId="4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>
        <w:color w:val="auto"/>
      </w:rPr>
      <w:start w:val="1"/>
      <w:suff w:val="tab"/>
    </w:lvl>
    <w:lvl w:ilvl="1">
      <w:isLgl w:val="false"/>
      <w:lvlJc w:val="left"/>
      <w:lvlText w:val="%2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left"/>
      <w:lvlText w:val="%3."/>
      <w:numFmt w:val="decimal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left"/>
      <w:lvlText w:val="%6."/>
      <w:numFmt w:val="decimal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left"/>
      <w:lvlText w:val="%9."/>
      <w:numFmt w:val="decimal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"/>
      <w:numFmt w:val="bullet"/>
      <w:pPr>
        <w:pBdr/>
        <w:spacing/>
        <w:ind w:hanging="360" w:left="1440"/>
      </w:pPr>
      <w:rPr>
        <w:rFonts w:hint="default" w:ascii="Symbol" w:hAnsi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60"/>
      </w:pPr>
      <w:rPr>
        <w:rFonts w:hint="default" w:ascii="Courier New" w:hAnsi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3600"/>
      </w:pPr>
      <w:rPr>
        <w:rFonts w:hint="default" w:ascii="Symbol" w:hAnsi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20"/>
      </w:pPr>
      <w:rPr>
        <w:rFonts w:hint="default" w:ascii="Courier New" w:hAnsi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760"/>
      </w:pPr>
      <w:rPr>
        <w:rFonts w:hint="default" w:ascii="Symbol" w:hAnsi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80"/>
      </w:pPr>
      <w:rPr>
        <w:rFonts w:hint="default" w:ascii="Courier New" w:hAnsi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7200"/>
      </w:pPr>
      <w:rPr>
        <w:rFonts w:hint="default" w:ascii="Wingdings" w:hAnsi="Wingdings"/>
      </w:rPr>
      <w:start w:val="1"/>
      <w:suff w:val="tab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7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7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7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7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7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7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7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74"/>
    <w:next w:val="674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74"/>
    <w:next w:val="67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74"/>
    <w:next w:val="67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74"/>
    <w:next w:val="67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74"/>
    <w:next w:val="67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74"/>
    <w:next w:val="67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74"/>
    <w:next w:val="67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74"/>
    <w:next w:val="67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74"/>
    <w:next w:val="67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75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7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7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7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7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7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7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7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7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74"/>
    <w:next w:val="674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75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74"/>
    <w:next w:val="67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7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74"/>
    <w:next w:val="67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7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74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7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74"/>
    <w:next w:val="67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7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7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7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7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7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7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7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7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74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75"/>
    <w:link w:val="175"/>
    <w:uiPriority w:val="99"/>
    <w:pPr>
      <w:pBdr/>
      <w:spacing/>
      <w:ind/>
    </w:pPr>
  </w:style>
  <w:style w:type="paragraph" w:styleId="177">
    <w:name w:val="Footer"/>
    <w:basedOn w:val="674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75"/>
    <w:link w:val="177"/>
    <w:uiPriority w:val="99"/>
    <w:pPr>
      <w:pBdr/>
      <w:spacing/>
      <w:ind/>
    </w:pPr>
  </w:style>
  <w:style w:type="paragraph" w:styleId="179">
    <w:name w:val="Caption"/>
    <w:basedOn w:val="674"/>
    <w:next w:val="67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7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75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75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7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7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75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67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74"/>
    <w:next w:val="674"/>
    <w:uiPriority w:val="39"/>
    <w:unhideWhenUsed/>
    <w:pPr>
      <w:pBdr/>
      <w:spacing w:after="100"/>
      <w:ind/>
    </w:pPr>
  </w:style>
  <w:style w:type="paragraph" w:styleId="189">
    <w:name w:val="toc 2"/>
    <w:basedOn w:val="674"/>
    <w:next w:val="674"/>
    <w:uiPriority w:val="39"/>
    <w:unhideWhenUsed/>
    <w:pPr>
      <w:pBdr/>
      <w:spacing w:after="100"/>
      <w:ind w:left="220"/>
    </w:pPr>
  </w:style>
  <w:style w:type="paragraph" w:styleId="190">
    <w:name w:val="toc 3"/>
    <w:basedOn w:val="674"/>
    <w:next w:val="674"/>
    <w:uiPriority w:val="39"/>
    <w:unhideWhenUsed/>
    <w:pPr>
      <w:pBdr/>
      <w:spacing w:after="100"/>
      <w:ind w:left="440"/>
    </w:pPr>
  </w:style>
  <w:style w:type="paragraph" w:styleId="191">
    <w:name w:val="toc 4"/>
    <w:basedOn w:val="674"/>
    <w:next w:val="674"/>
    <w:uiPriority w:val="39"/>
    <w:unhideWhenUsed/>
    <w:pPr>
      <w:pBdr/>
      <w:spacing w:after="100"/>
      <w:ind w:left="660"/>
    </w:pPr>
  </w:style>
  <w:style w:type="paragraph" w:styleId="192">
    <w:name w:val="toc 5"/>
    <w:basedOn w:val="674"/>
    <w:next w:val="674"/>
    <w:uiPriority w:val="39"/>
    <w:unhideWhenUsed/>
    <w:pPr>
      <w:pBdr/>
      <w:spacing w:after="100"/>
      <w:ind w:left="880"/>
    </w:pPr>
  </w:style>
  <w:style w:type="paragraph" w:styleId="193">
    <w:name w:val="toc 6"/>
    <w:basedOn w:val="674"/>
    <w:next w:val="674"/>
    <w:uiPriority w:val="39"/>
    <w:unhideWhenUsed/>
    <w:pPr>
      <w:pBdr/>
      <w:spacing w:after="100"/>
      <w:ind w:left="1100"/>
    </w:pPr>
  </w:style>
  <w:style w:type="paragraph" w:styleId="194">
    <w:name w:val="toc 7"/>
    <w:basedOn w:val="674"/>
    <w:next w:val="674"/>
    <w:uiPriority w:val="39"/>
    <w:unhideWhenUsed/>
    <w:pPr>
      <w:pBdr/>
      <w:spacing w:after="100"/>
      <w:ind w:left="1320"/>
    </w:pPr>
  </w:style>
  <w:style w:type="paragraph" w:styleId="195">
    <w:name w:val="toc 8"/>
    <w:basedOn w:val="674"/>
    <w:next w:val="674"/>
    <w:uiPriority w:val="39"/>
    <w:unhideWhenUsed/>
    <w:pPr>
      <w:pBdr/>
      <w:spacing w:after="100"/>
      <w:ind w:left="1540"/>
    </w:pPr>
  </w:style>
  <w:style w:type="paragraph" w:styleId="196">
    <w:name w:val="toc 9"/>
    <w:basedOn w:val="674"/>
    <w:next w:val="67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74"/>
    <w:next w:val="674"/>
    <w:uiPriority w:val="99"/>
    <w:unhideWhenUsed/>
    <w:pPr>
      <w:pBdr/>
      <w:spacing w:after="0" w:afterAutospacing="0"/>
      <w:ind/>
    </w:pPr>
  </w:style>
  <w:style w:type="paragraph" w:styleId="674" w:default="1">
    <w:name w:val="Normal"/>
    <w:qFormat/>
    <w:pPr>
      <w:pBdr/>
      <w:spacing w:after="0" w:line="240" w:lineRule="auto"/>
      <w:ind/>
    </w:pPr>
    <w:rPr>
      <w:rFonts w:ascii="Times New Roman" w:hAnsi="Times New Roman"/>
      <w:sz w:val="20"/>
      <w:szCs w:val="20"/>
      <w:lang w:eastAsia="pl-PL"/>
    </w:rPr>
  </w:style>
  <w:style w:type="character" w:styleId="675" w:default="1">
    <w:name w:val="Default Paragraph Font"/>
    <w:uiPriority w:val="1"/>
    <w:semiHidden/>
    <w:unhideWhenUsed/>
    <w:pPr>
      <w:pBdr/>
      <w:spacing/>
      <w:ind/>
    </w:pPr>
  </w:style>
  <w:style w:type="table" w:styleId="67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77" w:default="1">
    <w:name w:val="No List"/>
    <w:uiPriority w:val="99"/>
    <w:semiHidden/>
    <w:unhideWhenUsed/>
    <w:pPr>
      <w:pBdr/>
      <w:spacing/>
      <w:ind/>
    </w:pPr>
  </w:style>
  <w:style w:type="character" w:styleId="678">
    <w:name w:val="Hyperlink"/>
    <w:basedOn w:val="675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679">
    <w:name w:val="Normal (Web)"/>
    <w:basedOn w:val="674"/>
    <w:uiPriority w:val="99"/>
    <w:unhideWhenUsed/>
    <w:pPr>
      <w:pBdr/>
      <w:spacing w:after="100" w:afterAutospacing="1" w:before="100" w:beforeAutospacing="1"/>
      <w:ind/>
    </w:pPr>
    <w:rPr>
      <w:rFonts w:eastAsia="Times New Roman" w:cs="Times New Roman"/>
      <w:sz w:val="24"/>
      <w:szCs w:val="24"/>
    </w:rPr>
  </w:style>
  <w:style w:type="paragraph" w:styleId="680" w:customStyle="1">
    <w:name w:val="oznrodzaktutznustawalubrozporzdzenieiorganwydajcy"/>
    <w:basedOn w:val="674"/>
    <w:pPr>
      <w:pBdr/>
      <w:spacing w:after="100" w:afterAutospacing="1" w:before="100" w:beforeAutospacing="1"/>
      <w:ind/>
    </w:pPr>
    <w:rPr>
      <w:rFonts w:eastAsia="Times New Roman" w:cs="Times New Roman"/>
      <w:sz w:val="24"/>
      <w:szCs w:val="24"/>
    </w:rPr>
  </w:style>
  <w:style w:type="paragraph" w:styleId="681" w:customStyle="1">
    <w:name w:val="dataaktudatauchwalenialubwydaniaaktu"/>
    <w:basedOn w:val="674"/>
    <w:pPr>
      <w:pBdr/>
      <w:spacing w:after="100" w:afterAutospacing="1" w:before="100" w:beforeAutospacing="1"/>
      <w:ind/>
    </w:pPr>
    <w:rPr>
      <w:rFonts w:eastAsia="Times New Roman" w:cs="Times New Roman"/>
      <w:sz w:val="24"/>
      <w:szCs w:val="24"/>
    </w:rPr>
  </w:style>
  <w:style w:type="paragraph" w:styleId="682" w:customStyle="1">
    <w:name w:val="tytuaktuprzedmiotregulacjiustawylubrozporzdzenia"/>
    <w:basedOn w:val="674"/>
    <w:pPr>
      <w:pBdr/>
      <w:spacing w:after="100" w:afterAutospacing="1" w:before="100" w:beforeAutospacing="1"/>
      <w:ind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file:///\\zasob1\IOD$\IOD%20-%20E.Chrzanowska\Zespo&#322;y%20zadaniowe\Zesp&#243;&#322;%20&#321;KW%20-%20rozbudowa%20syst.%20ostrzegania%20i%20alarmowania\Za&#322;&#261;czniki%203,4,5,%20klauzule.docx" TargetMode="External"/><Relationship Id="rId10" Type="http://schemas.openxmlformats.org/officeDocument/2006/relationships/hyperlink" Target="mailto:iod@lodzkie.straz.gov.p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onlyoffice/8.2.1.38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Chrzanowska (KW Łódź)</dc:creator>
  <cp:keywords/>
  <dc:description/>
  <cp:lastModifiedBy>Ł.Świerczynski (KW Łódź)</cp:lastModifiedBy>
  <cp:revision>49</cp:revision>
  <dcterms:created xsi:type="dcterms:W3CDTF">2025-07-08T11:20:00Z</dcterms:created>
  <dcterms:modified xsi:type="dcterms:W3CDTF">2025-07-17T07:21:18Z</dcterms:modified>
</cp:coreProperties>
</file>